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0.png" ContentType="image/png"/>
  <Override PartName="/word/media/rId23.png" ContentType="image/png"/>
  <Override PartName="/word/media/rId50.png" ContentType="image/png"/>
  <Override PartName="/word/media/rId49.png" ContentType="image/png"/>
  <Override PartName="/word/media/rId35.png" ContentType="image/png"/>
  <Override PartName="/word/media/rId44.png" ContentType="image/png"/>
  <Override PartName="/word/media/rId43.png" ContentType="image/png"/>
  <Override PartName="/word/media/rId45.jpg" ContentType="image/jpeg"/>
  <Override PartName="/word/media/rId4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26</w:t>
      </w:r>
      <w:r>
        <w:t xml:space="preserve"> </w:t>
      </w:r>
      <w:r>
        <w:t xml:space="preserve">August,</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San Gabriel River (SGR) Regional Monitoring Program, a copperative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In many places, SGR managers lack the context for a biological condition assessment to determine the likelihood of a site for achieving biological integrity. For example, managers may expect a mountain stream in the upper watershed to have greater biological potential than an urban stream in the lower watershed.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was applied to monitoring sites in the SGR waterhsed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simplified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simplified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ouput. Difficulty can very either because the data to address the question may or may not be readily available or the certainty of the conclusion can vary because of incomlete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Heading3"/>
      </w:pPr>
      <w:bookmarkStart w:id="25" w:name="is-the-sample-count-sufficient"/>
      <w:r>
        <w:t xml:space="preserve">Is the sample count sufficient?</w:t>
      </w:r>
      <w:bookmarkEnd w:id="25"/>
    </w:p>
    <w:p>
      <w:pPr>
        <w:pStyle w:val="FirstParagraph"/>
      </w:pPr>
      <w:r>
        <w:rPr>
          <w:i/>
        </w:rPr>
        <w:t xml:space="preserve">Why is this a problem?</w:t>
      </w:r>
    </w:p>
    <w:p>
      <w:pPr>
        <w:pStyle w:val="BodyText"/>
      </w:pPr>
      <w:r>
        <w:t xml:space="preserve">Low sample counts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 Macroinvertebrate data used to calculate the CSCI are based on a representative subsample of 600 individuals from the total sample for each site. In general, sites where CSCI scores are based on substantially less than 600 individuals may be suspect.</w:t>
      </w:r>
    </w:p>
    <w:p>
      <w:pPr>
        <w:pStyle w:val="BodyText"/>
      </w:pPr>
      <w:r>
        <w:rPr>
          <w:i/>
        </w:rPr>
        <w:t xml:space="preserve">Where do you find an answer?</w:t>
      </w:r>
    </w:p>
    <w:p>
      <w:pPr>
        <w:pStyle w:val="BodyText"/>
      </w:pPr>
      <w:r>
        <w:t xml:space="preserve">The index output that is generated by the CSCI calculator (</w:t>
      </w:r>
      <w:hyperlink r:id="rId26">
        <w:r>
          <w:rPr>
            <w:rStyle w:val="Hyperlink"/>
          </w:rPr>
          <w:t xml:space="preserve">https://sccwrp.github.io/CSCI</w:t>
        </w:r>
      </w:hyperlink>
      <w:r>
        <w:t xml:space="preserve">)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likely invalid.</w:t>
      </w:r>
    </w:p>
    <w:p>
      <w:pPr>
        <w:pStyle w:val="CaptionedFigure"/>
      </w:pPr>
      <w:r>
        <w:drawing>
          <wp:inline>
            <wp:extent cx="5943600" cy="3050370"/>
            <wp:effectExtent b="0" l="0" r="0" t="0"/>
            <wp:docPr descr="Figure 2: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2: CSCI metadata that can be evaluated from the standard results. The first sample returns an invalid CSCI score because of a low sample count (in red).</w:t>
      </w:r>
    </w:p>
    <w:p>
      <w:pPr>
        <w:pStyle w:val="BodyText"/>
      </w:pPr>
      <w:r>
        <w:t xml:space="preserve">The SWAMP program does not provide guidance on how many samples are required. However, an analysis of the effect of systematically reducing the sample count well below 600 individuals for several sites is provided in the appendix. Figure</w:t>
      </w:r>
      <w:r>
        <w:t xml:space="preserve"> </w:t>
      </w:r>
      <w:r>
        <w:t xml:space="preserve">9</w:t>
      </w:r>
      <w:r>
        <w:t xml:space="preserve"> </w:t>
      </w:r>
      <w:r>
        <w:t xml:space="preserve">was created by taking subsamples of the total sample size for six different sites with a range of CSCI scores (horizontal dashed lines in Figure</w:t>
      </w:r>
      <w:r>
        <w:t xml:space="preserve"> </w:t>
      </w:r>
      <w:r>
        <w:t xml:space="preserve">9</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9</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9</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02"/>
          <w:ilvl w:val="0"/>
        </w:numPr>
      </w:pPr>
      <w:r>
        <w:t xml:space="preserve">CSCI scores are generally within ten percent of the actual with sample counts of 250 or more</w:t>
      </w:r>
    </w:p>
    <w:p>
      <w:pPr>
        <w:numPr>
          <w:numId w:val="1002"/>
          <w:ilvl w:val="0"/>
        </w:numPr>
      </w:pPr>
      <w:r>
        <w:t xml:space="preserve">Changes in CSCI score with lower samples are similar for high or low quality sites, however;</w:t>
      </w:r>
    </w:p>
    <w:p>
      <w:pPr>
        <w:numPr>
          <w:numId w:val="1002"/>
          <w:ilvl w:val="0"/>
        </w:numPr>
      </w:pPr>
      <w:r>
        <w:t xml:space="preserve">Sites with very ow scores and very low richness are minimally affected by changes in sample counts.</w:t>
      </w:r>
    </w:p>
    <w:p>
      <w:pPr>
        <w:numPr>
          <w:numId w:val="1002"/>
          <w:ilvl w:val="0"/>
        </w:numPr>
      </w:pPr>
      <w:r>
        <w:t xml:space="preserve">Precision decreases with lower sample size, although variation is typically less than 10% of the true mean with sample sizes of 200 or more.</w:t>
      </w:r>
    </w:p>
    <w:p>
      <w:pPr>
        <w:pStyle w:val="Heading3"/>
      </w:pPr>
      <w:bookmarkStart w:id="28" w:name="X830a95409de02454553707a13f3df5d84aacfdd"/>
      <w:r>
        <w:t xml:space="preserve">Are there many ambiguous individuals or taxa?</w:t>
      </w:r>
      <w:bookmarkEnd w:id="28"/>
    </w:p>
    <w:p>
      <w:pPr>
        <w:pStyle w:val="FirstParagraph"/>
      </w:pPr>
      <w:r>
        <w:rPr>
          <w:i/>
        </w:rPr>
        <w:t xml:space="preserve">Why is this a problem?</w:t>
      </w:r>
    </w:p>
    <w:p>
      <w:pPr>
        <w:pStyle w:val="BodyText"/>
      </w:pPr>
      <w:r>
        <w:t xml:space="preserve">Ambiguous individuals or taxa cannot be used for O/E calculations in the CSCI, and may distort calculations of some metrics. This might occur if, for example, a sample isn’t identified to the CSCI’s standard level of taxonomic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Although the effect of ambiguous individuals or taxa on the CSCI may be similar to the effects of low sample count, the underlying reason for depressed CSCI scores is different. In the former case, taxa used to calcuate the CSCI sample lack specificity and certain traits that are diagnostic for specific metrics may be impossible to quantify. Even if the sample is truly diverse and has a sufficiently high sample count, designations at higher taxonomic levels may not provide enough detail to fully characterize biological condition.</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29">
        <w:r>
          <w:rPr>
            <w:rStyle w:val="Hyperlink"/>
          </w:rPr>
          <w:t xml:space="preserve">https://safit.org/ste.html</w:t>
        </w:r>
      </w:hyperlink>
      <w:r>
        <w:t xml:space="preserve">). The CSCI output returns information on the percentage of a sample that does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of ambiguous taxa may have invalid CSCI scores. Figure</w:t>
      </w:r>
      <w:r>
        <w:t xml:space="preserve"> </w:t>
      </w:r>
      <w:r>
        <w:t xml:space="preserve">(fig:coreex2) shows output from the CSCI calculate that reports the percentage of ambiguous individuals and taxa. The second sample for site 3 has many ambiguous observations.</w:t>
      </w:r>
    </w:p>
    <w:p>
      <w:pPr>
        <w:pStyle w:val="CaptionedFigure"/>
      </w:pPr>
      <w:r>
        <w:drawing>
          <wp:inline>
            <wp:extent cx="5943600" cy="3050370"/>
            <wp:effectExtent b="0" l="0" r="0" t="0"/>
            <wp:docPr descr="Figure 3: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second sample returns an invalid CSCI score because of many ambiguous individuals and taxa (in red).</w:t>
      </w:r>
    </w:p>
    <w:p>
      <w:pPr>
        <w:pStyle w:val="BodyText"/>
      </w:pPr>
      <w:r>
        <w:t xml:space="preserve">The effect of systematically increasing the amount of ambiguous taxa on CSCI scores is shown in the appendix. Figure</w:t>
      </w:r>
      <w:r>
        <w:t xml:space="preserve"> </w:t>
      </w:r>
      <w:r>
        <w:t xml:space="preserve">10</w:t>
      </w:r>
      <w:r>
        <w:t xml:space="preserve"> </w:t>
      </w:r>
      <w:r>
        <w:t xml:space="preserve">was created by increasing the amount of ambiguous taxa that were included in each sample. 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10</w:t>
      </w:r>
      <w:r>
        <w:t xml:space="preserve">a,b) and the coefficient of variation associated with the 100 random samples (Figures</w:t>
      </w:r>
      <w:r>
        <w:t xml:space="preserve"> </w:t>
      </w:r>
      <w:r>
        <w:t xml:space="preserve">10</w:t>
      </w:r>
      <w:r>
        <w:t xml:space="preserve">c).</w:t>
      </w:r>
    </w:p>
    <w:p>
      <w:pPr>
        <w:pStyle w:val="BodyText"/>
      </w:pPr>
      <w:r>
        <w:t xml:space="preserve">Based on the above analyses, we recommend a maximum percentage of ambiguous taxa not to exceed 40-50% (i.e., percent of identified taxa not to fall below 50-60%). Details include:</w:t>
      </w:r>
    </w:p>
    <w:p>
      <w:pPr>
        <w:numPr>
          <w:numId w:val="1003"/>
          <w:ilvl w:val="0"/>
        </w:numPr>
      </w:pPr>
      <w:r>
        <w:t xml:space="preserve">Increasing ambiguity caused a decrease in CSCI scores from the true estimates</w:t>
      </w:r>
    </w:p>
    <w:p>
      <w:pPr>
        <w:numPr>
          <w:numId w:val="1003"/>
          <w:ilvl w:val="0"/>
        </w:numPr>
      </w:pPr>
      <w:r>
        <w:t xml:space="preserve">CSCI scores are generally within ten percent of the actual if the ambiguous taxa are less than 50-60% of the total sample</w:t>
      </w:r>
    </w:p>
    <w:p>
      <w:pPr>
        <w:numPr>
          <w:numId w:val="1003"/>
          <w:ilvl w:val="0"/>
        </w:numPr>
      </w:pPr>
      <w:r>
        <w:t xml:space="preserve">Precision decreases with more ambiguous taxa, although variation is typically less than 10% of the true mean if at least 30-40% of the sample contains unambiguous taxa.</w:t>
      </w:r>
    </w:p>
    <w:p>
      <w:pPr>
        <w:pStyle w:val="Heading3"/>
      </w:pPr>
      <w:bookmarkStart w:id="31" w:name="Xb69ad52f60d468f9c079189d85102d504da65fa"/>
      <w:r>
        <w:t xml:space="preserve">Was the sample affected by unusual sampling conditions?</w:t>
      </w:r>
      <w:bookmarkEnd w:id="31"/>
    </w:p>
    <w:p>
      <w:pPr>
        <w:pStyle w:val="FirstParagraph"/>
      </w:pPr>
      <w:r>
        <w:t xml:space="preserve">CSCI scores may be invalid if the sample was affected by natural or temporary disturbances. The SWAMP sampling protocol indicates that sampling should occur during normal, baseflow conditions</w:t>
      </w:r>
      <w:r>
        <w:t xml:space="preserve"> </w:t>
      </w:r>
      <w:r>
        <w:t xml:space="preserve">(Ode, Fetscher, and Busse 2016)</w:t>
      </w:r>
      <w:r>
        <w:t xml:space="preserve">.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04"/>
          <w:ilvl w:val="0"/>
        </w:numPr>
      </w:pPr>
      <w:r>
        <w:t xml:space="preserve">Abnormal flow</w:t>
      </w:r>
    </w:p>
    <w:p>
      <w:pPr>
        <w:pStyle w:val="Compact"/>
        <w:numPr>
          <w:numId w:val="1005"/>
          <w:ilvl w:val="1"/>
        </w:numPr>
      </w:pPr>
      <w:r>
        <w:t xml:space="preserve">high flow after a rain event that can scour a stream channel</w:t>
      </w:r>
    </w:p>
    <w:p>
      <w:pPr>
        <w:pStyle w:val="Compact"/>
        <w:numPr>
          <w:numId w:val="1005"/>
          <w:ilvl w:val="1"/>
        </w:numPr>
      </w:pPr>
      <w:r>
        <w:t xml:space="preserve">high flow dam release or diversion</w:t>
      </w:r>
    </w:p>
    <w:p>
      <w:pPr>
        <w:pStyle w:val="Compact"/>
        <w:numPr>
          <w:numId w:val="1005"/>
          <w:ilvl w:val="1"/>
        </w:numPr>
      </w:pPr>
      <w:r>
        <w:t xml:space="preserve">low flow under drought conditions</w:t>
      </w:r>
    </w:p>
    <w:p>
      <w:pPr>
        <w:pStyle w:val="Compact"/>
        <w:numPr>
          <w:numId w:val="1004"/>
          <w:ilvl w:val="0"/>
        </w:numPr>
      </w:pPr>
      <w:r>
        <w:t xml:space="preserve">Vector control operations at/upstream of a site or in the watershed</w:t>
      </w:r>
    </w:p>
    <w:p>
      <w:pPr>
        <w:pStyle w:val="Compact"/>
        <w:numPr>
          <w:numId w:val="1004"/>
          <w:ilvl w:val="0"/>
        </w:numPr>
      </w:pPr>
      <w:r>
        <w:t xml:space="preserve">In channel vegetation management or debris removal</w:t>
      </w:r>
    </w:p>
    <w:p>
      <w:pPr>
        <w:pStyle w:val="Compact"/>
        <w:numPr>
          <w:numId w:val="1004"/>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3"/>
      </w:pPr>
      <w:bookmarkStart w:id="32" w:name="X92f966b136b9039f7689c438324c2482821b1f5"/>
      <w:r>
        <w:t xml:space="preserve">Was the sample outside of the typical index period?</w:t>
      </w:r>
      <w:bookmarkEnd w:id="32"/>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ad hoc information has suggested that CSCI scores are relatively invariant to seasonal changes, so this question is given a lower priority for validation.</w:t>
      </w:r>
    </w:p>
    <w:p>
      <w:pPr>
        <w:pStyle w:val="Heading3"/>
      </w:pPr>
      <w:bookmarkStart w:id="33" w:name="X4f23eccb55e7bfb81066c8df864512e9c05c2b1"/>
      <w:r>
        <w:t xml:space="preserve">Does the site have a bad watershed delineation?</w:t>
      </w:r>
      <w:bookmarkEnd w:id="33"/>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06"/>
          <w:ilvl w:val="0"/>
        </w:numPr>
      </w:pPr>
      <w:r>
        <w:t xml:space="preserve">The actual site location is spatially co-located with a stream reach line in a GIS, and vice versa.</w:t>
      </w:r>
    </w:p>
    <w:p>
      <w:pPr>
        <w:pStyle w:val="Compact"/>
        <w:numPr>
          <w:numId w:val="1006"/>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t xml:space="preserve">The original GIS file for the watershed delineation should be viewed to assess the relative quality. If this file is unavailable, the</w:t>
      </w:r>
      <w:r>
        <w:t xml:space="preserve"> </w:t>
      </w:r>
      <w:hyperlink r:id="rId34">
        <w:r>
          <w:rPr>
            <w:rStyle w:val="Hyperlink"/>
          </w:rPr>
          <w:t xml:space="preserve">Streamstats</w:t>
        </w:r>
      </w:hyperlink>
      <w:r>
        <w:t xml:space="preserve"> </w:t>
      </w:r>
      <w:r>
        <w:t xml:space="preserve">website can provide some clues about the watershed delineation. Figures</w:t>
      </w:r>
      <w:r>
        <w:t xml:space="preserve"> </w:t>
      </w:r>
      <w:r>
        <w:t xml:space="preserve">4</w:t>
      </w:r>
      <w:r>
        <w:t xml:space="preserve"> </w:t>
      </w:r>
      <w:r>
        <w:t xml:space="preserve">provides examples of two extremes when watershed delineations can be produced with differing quality. Figure</w:t>
      </w:r>
      <w:r>
        <w:t xml:space="preserve"> </w:t>
      </w:r>
      <w:r>
        <w:t xml:space="preserve">4</w:t>
      </w:r>
      <w:r>
        <w:t xml:space="preserve">a shows a high gradient stream in a mountainous, undeveloped area. In this scenario, the topography is sufficiently pronounced to easily identify the watershed boundaries and the hydrological flow follows the landscape. Conversely, figure</w:t>
      </w:r>
      <w:r>
        <w:t xml:space="preserve"> </w:t>
      </w:r>
      <w:r>
        <w:t xml:space="preserve">4</w:t>
      </w:r>
      <w:r>
        <w:t xml:space="preserve">b shows a low gradient stream in an urban setting. The watershed boundaries are not easily identify from elevation gradients and the digitized stream channels probably do not accurately reflect the flow of water in this altered landscape.</w:t>
      </w:r>
    </w:p>
    <w:p>
      <w:pPr>
        <w:pStyle w:val="CaptionedFigure"/>
      </w:pPr>
      <w:r>
        <w:drawing>
          <wp:inline>
            <wp:extent cx="5943600" cy="2673562"/>
            <wp:effectExtent b="0" l="0" r="0" t="0"/>
            <wp:docPr descr="Figure 4: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5"/>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4: Watershed delineation examples.</w:t>
      </w:r>
    </w:p>
    <w:p>
      <w:pPr>
        <w:pStyle w:val="Heading3"/>
      </w:pPr>
      <w:bookmarkStart w:id="36" w:name="X4acb5de50ea83614b54e6ea6ab0cff3f2b5735d"/>
      <w:r>
        <w:t xml:space="preserve">Are there unusual settings where the CSCI is known to give low scores?</w:t>
      </w:r>
      <w:bookmarkEnd w:id="36"/>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This can influence the physical and chemical characteristics of the stream that structure the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Heading2"/>
      </w:pPr>
      <w:bookmarkStart w:id="37" w:name="landscape-model-validation"/>
      <w:r>
        <w:t xml:space="preserve">Landscape model validation</w:t>
      </w:r>
      <w:bookmarkEnd w:id="37"/>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38" w:name="questions"/>
      <w:r>
        <w:t xml:space="preserve">Questions</w:t>
      </w:r>
      <w:bookmarkEnd w:id="38"/>
    </w:p>
    <w:p>
      <w:pPr>
        <w:pStyle w:val="Compact"/>
        <w:numPr>
          <w:numId w:val="1007"/>
          <w:ilvl w:val="0"/>
        </w:numPr>
      </w:pPr>
      <w:r>
        <w:t xml:space="preserve">Is the sampling reach atypical of a channel’s overall class (e.g., unconstrained class surrounded by constrained classes)?</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9">
        <w:r>
          <w:rPr>
            <w:rStyle w:val="Hyperlink"/>
          </w:rPr>
          <w:t xml:space="preserve">SCAPE</w:t>
        </w:r>
      </w:hyperlink>
      <w:r>
        <w:t xml:space="preserve"> </w:t>
      </w:r>
      <w:r>
        <w:t xml:space="preserve">application provides this information for the San Gabriel River Watershed. Figure</w:t>
      </w:r>
      <w:r>
        <w:t xml:space="preserve"> </w:t>
      </w:r>
      <w:r>
        <w:t xml:space="preserve">5</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5</w:t>
      </w:r>
      <w:r>
        <w:t xml:space="preserve">a). We can toggle the base layer to show a satellite image of the location to get a better idea of the landscape (Figure</w:t>
      </w:r>
      <w:r>
        <w:t xml:space="preserve"> </w:t>
      </w:r>
      <w:r>
        <w:t xml:space="preserve">5</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5: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40"/>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5: An unexpected stream class is validated by examining the land use, lane cover base layer.</w:t>
      </w:r>
    </w:p>
    <w:p>
      <w:pPr>
        <w:pStyle w:val="BodyText"/>
      </w:pPr>
      <w:r>
        <w:t xml:space="preserve">For locations not in the San Gabriel watershed, a</w:t>
      </w:r>
      <w:r>
        <w:t xml:space="preserve"> </w:t>
      </w:r>
      <w:hyperlink r:id="rId41">
        <w:r>
          <w:rPr>
            <w:rStyle w:val="Hyperlink"/>
          </w:rPr>
          <w:t xml:space="preserve">shapefile</w:t>
        </w:r>
      </w:hyperlink>
      <w:r>
        <w:t xml:space="preserve"> </w:t>
      </w:r>
      <w:r>
        <w:t xml:space="preserve">is available for all stream reaches in California where the landscape model was applied.</w:t>
      </w:r>
    </w:p>
    <w:p>
      <w:pPr>
        <w:pStyle w:val="Compact"/>
        <w:numPr>
          <w:numId w:val="1008"/>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w:t>
      </w:r>
    </w:p>
    <w:p>
      <w:pPr>
        <w:pStyle w:val="BodyText"/>
      </w:pPr>
      <w:r>
        <w:t xml:space="preserve">The Google Earth (</w:t>
      </w:r>
      <w:hyperlink r:id="rId42">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6</w:t>
      </w:r>
      <w:r>
        <w:t xml:space="preserve"> </w:t>
      </w:r>
      <w:r>
        <w:t xml:space="preserve">shows a screen shot from SCAPE for a current image, including some stream channels in the possibly unconstrained class. In the left image for current conditions,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47945"/>
            <wp:effectExtent b="0" l="0" r="0" t="0"/>
            <wp:docPr descr="Figure 6: An example from SCAPE showing (a) unconstrained channels next to a parking lot and (b) the same location approximately ten years ago.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3"/>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6: An example from SCAPE showing (a) unconstrained channels next to a parking lot and (b) the same location approximately ten years ago. Note the absence of the larger parking lot in the earlier photo.</w:t>
      </w:r>
    </w:p>
    <w:p>
      <w:pPr>
        <w:pStyle w:val="Compact"/>
        <w:numPr>
          <w:numId w:val="1009"/>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10"/>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7</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7: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7: Stream hydrography in altered lanscaped. Actual stream reaches may not be well represented by existing spatial layers.</w:t>
      </w:r>
    </w:p>
    <w:p>
      <w:pPr>
        <w:pStyle w:val="Compact"/>
        <w:numPr>
          <w:numId w:val="1011"/>
          <w:ilvl w:val="0"/>
        </w:numPr>
      </w:pPr>
      <w:r>
        <w:t xml:space="preserve">Are the results from the landscape model close to key decision points?</w:t>
      </w:r>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t xml:space="preserve">Figure</w:t>
      </w:r>
      <w:r>
        <w:t xml:space="preserve"> </w:t>
      </w:r>
      <w:r>
        <w:t xml:space="preserve">8</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8: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5"/>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8: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46" w:name="data-sources"/>
      <w:r>
        <w:t xml:space="preserve">Data sources</w:t>
      </w:r>
      <w:bookmarkEnd w:id="46"/>
    </w:p>
    <w:p>
      <w:pPr>
        <w:pStyle w:val="FirstParagraph"/>
      </w:pPr>
      <w:r>
        <w:t xml:space="preserve">The following is a list of resources that can provide information to address the validation questions.</w:t>
      </w:r>
    </w:p>
    <w:p>
      <w:pPr>
        <w:pStyle w:val="Compact"/>
        <w:numPr>
          <w:numId w:val="1012"/>
          <w:ilvl w:val="0"/>
        </w:numPr>
      </w:pPr>
      <w:r>
        <w:t xml:space="preserve">CSCI metadata (consult CSCI SOP and package documentation)</w:t>
      </w:r>
    </w:p>
    <w:p>
      <w:pPr>
        <w:pStyle w:val="Compact"/>
        <w:numPr>
          <w:numId w:val="1012"/>
          <w:ilvl w:val="0"/>
        </w:numPr>
      </w:pPr>
      <w:r>
        <w:t xml:space="preserve">SCAPE website</w:t>
      </w:r>
    </w:p>
    <w:p>
      <w:pPr>
        <w:pStyle w:val="Compact"/>
        <w:numPr>
          <w:numId w:val="1012"/>
          <w:ilvl w:val="0"/>
        </w:numPr>
      </w:pPr>
      <w:r>
        <w:t xml:space="preserve">Reference site information</w:t>
      </w:r>
    </w:p>
    <w:p>
      <w:pPr>
        <w:pStyle w:val="Compact"/>
        <w:numPr>
          <w:numId w:val="1012"/>
          <w:ilvl w:val="0"/>
        </w:numPr>
      </w:pPr>
      <w:r>
        <w:t xml:space="preserve">GIS data</w:t>
      </w:r>
    </w:p>
    <w:p>
      <w:pPr>
        <w:pStyle w:val="Compact"/>
        <w:numPr>
          <w:numId w:val="1013"/>
          <w:ilvl w:val="1"/>
        </w:numPr>
      </w:pPr>
      <w:r>
        <w:t xml:space="preserve">StreamCat</w:t>
      </w:r>
    </w:p>
    <w:p>
      <w:pPr>
        <w:pStyle w:val="Compact"/>
        <w:numPr>
          <w:numId w:val="1013"/>
          <w:ilvl w:val="1"/>
        </w:numPr>
      </w:pPr>
      <w:r>
        <w:t xml:space="preserve">NHD hydrography</w:t>
      </w:r>
    </w:p>
    <w:p>
      <w:pPr>
        <w:pStyle w:val="Compact"/>
        <w:numPr>
          <w:numId w:val="1013"/>
          <w:ilvl w:val="1"/>
        </w:numPr>
      </w:pPr>
      <w:r>
        <w:t xml:space="preserve">Catchment/Watershed layers</w:t>
      </w:r>
    </w:p>
    <w:p>
      <w:pPr>
        <w:pStyle w:val="Compact"/>
        <w:numPr>
          <w:numId w:val="1013"/>
          <w:ilvl w:val="1"/>
        </w:numPr>
      </w:pPr>
      <w:r>
        <w:t xml:space="preserve">LU/LC data - NLCD 2006, 2011, NAIP aerial imagery</w:t>
      </w:r>
    </w:p>
    <w:p>
      <w:pPr>
        <w:pStyle w:val="Compact"/>
        <w:numPr>
          <w:numId w:val="1013"/>
          <w:ilvl w:val="1"/>
        </w:numPr>
      </w:pPr>
      <w:r>
        <w:t xml:space="preserve">GIS metrics for CSCI</w:t>
      </w:r>
    </w:p>
    <w:p>
      <w:pPr>
        <w:pStyle w:val="Compact"/>
        <w:numPr>
          <w:numId w:val="1013"/>
          <w:ilvl w:val="1"/>
        </w:numPr>
      </w:pPr>
      <w:r>
        <w:t xml:space="preserve">Google imagery + time slider</w:t>
      </w:r>
    </w:p>
    <w:p>
      <w:pPr>
        <w:pStyle w:val="Compact"/>
        <w:numPr>
          <w:numId w:val="1012"/>
          <w:ilvl w:val="0"/>
        </w:numPr>
      </w:pPr>
      <w:r>
        <w:t xml:space="preserve">Field data</w:t>
      </w:r>
    </w:p>
    <w:p>
      <w:pPr>
        <w:pStyle w:val="Compact"/>
        <w:numPr>
          <w:numId w:val="1014"/>
          <w:ilvl w:val="1"/>
        </w:numPr>
      </w:pPr>
      <w:r>
        <w:t xml:space="preserve">SWAMP, SMC, CEDEN</w:t>
      </w:r>
    </w:p>
    <w:p>
      <w:pPr>
        <w:pStyle w:val="Compact"/>
        <w:numPr>
          <w:numId w:val="1012"/>
          <w:ilvl w:val="0"/>
        </w:numPr>
      </w:pPr>
      <w:r>
        <w:t xml:space="preserve">Local knowledge</w:t>
      </w:r>
    </w:p>
    <w:p>
      <w:pPr>
        <w:pStyle w:val="Compact"/>
        <w:numPr>
          <w:numId w:val="1015"/>
          <w:ilvl w:val="1"/>
        </w:numPr>
      </w:pPr>
      <w:r>
        <w:t xml:space="preserve">Field notes</w:t>
      </w:r>
    </w:p>
    <w:p>
      <w:pPr>
        <w:pStyle w:val="Compact"/>
        <w:numPr>
          <w:numId w:val="1015"/>
          <w:ilvl w:val="1"/>
        </w:numPr>
      </w:pPr>
      <w:r>
        <w:t xml:space="preserve">Site photos</w:t>
      </w:r>
    </w:p>
    <w:p>
      <w:pPr>
        <w:pStyle w:val="Compact"/>
        <w:numPr>
          <w:numId w:val="1012"/>
          <w:ilvl w:val="0"/>
        </w:numPr>
      </w:pPr>
      <w:r>
        <w:t xml:space="preserve">Additional external datasets</w:t>
      </w:r>
    </w:p>
    <w:p>
      <w:pPr>
        <w:pStyle w:val="Compact"/>
        <w:numPr>
          <w:numId w:val="1016"/>
          <w:ilvl w:val="1"/>
        </w:numPr>
      </w:pPr>
      <w:r>
        <w:t xml:space="preserve">weather conditions (noaa.gov/weather)</w:t>
      </w:r>
    </w:p>
    <w:p>
      <w:pPr>
        <w:pStyle w:val="Compact"/>
        <w:numPr>
          <w:numId w:val="1016"/>
          <w:ilvl w:val="1"/>
        </w:numPr>
      </w:pPr>
      <w:r>
        <w:t xml:space="preserve">Fire perimeters</w:t>
      </w:r>
    </w:p>
    <w:p>
      <w:pPr>
        <w:pStyle w:val="Compact"/>
        <w:numPr>
          <w:numId w:val="1016"/>
          <w:ilvl w:val="1"/>
        </w:numPr>
      </w:pPr>
      <w:r>
        <w:t xml:space="preserve">Dredging data</w:t>
      </w:r>
    </w:p>
    <w:p>
      <w:pPr>
        <w:pStyle w:val="Compact"/>
        <w:numPr>
          <w:numId w:val="1016"/>
          <w:ilvl w:val="1"/>
        </w:numPr>
      </w:pPr>
      <w:r>
        <w:t xml:space="preserve">Mining data</w:t>
      </w:r>
    </w:p>
    <w:p>
      <w:pPr>
        <w:pStyle w:val="Compact"/>
        <w:numPr>
          <w:numId w:val="1016"/>
          <w:ilvl w:val="1"/>
        </w:numPr>
      </w:pPr>
      <w:r>
        <w:t xml:space="preserve">Timer harvest/silviculture data</w:t>
      </w:r>
    </w:p>
    <w:p>
      <w:pPr>
        <w:pStyle w:val="Heading1"/>
      </w:pPr>
      <w:bookmarkStart w:id="47" w:name="high-priority-sites-in-sgr-watershed"/>
      <w:r>
        <w:t xml:space="preserve">High priority sites in SGR watershed</w:t>
      </w:r>
      <w:bookmarkEnd w:id="47"/>
    </w:p>
    <w:p>
      <w:pPr>
        <w:pStyle w:val="Compact"/>
        <w:numPr>
          <w:numId w:val="1017"/>
          <w:ilvl w:val="0"/>
        </w:numPr>
      </w:pPr>
      <w:r>
        <w:t xml:space="preserve">405CE0280, SMC00480, SMC00144, SMC02972, SMC04524, SMC06496</w:t>
      </w:r>
    </w:p>
    <w:p>
      <w:pPr>
        <w:pStyle w:val="Compact"/>
        <w:numPr>
          <w:numId w:val="1017"/>
          <w:ilvl w:val="0"/>
        </w:numPr>
      </w:pPr>
      <w:r>
        <w:t xml:space="preserve">Why are these high priority?</w:t>
      </w:r>
    </w:p>
    <w:p>
      <w:pPr>
        <w:pStyle w:val="Compact"/>
        <w:numPr>
          <w:numId w:val="1017"/>
          <w:ilvl w:val="0"/>
        </w:numPr>
      </w:pPr>
      <w:r>
        <w:t xml:space="preserve">Validate CSCI/LSM results for each using available data to demonstrate the process</w:t>
      </w:r>
    </w:p>
    <w:p>
      <w:pPr>
        <w:pStyle w:val="Compact"/>
        <w:numPr>
          <w:numId w:val="1017"/>
          <w:ilvl w:val="0"/>
        </w:numPr>
      </w:pPr>
      <w:r>
        <w:t xml:space="preserve">What conclusions are made?</w:t>
      </w:r>
    </w:p>
    <w:p>
      <w:pPr>
        <w:pStyle w:val="Heading1"/>
      </w:pPr>
      <w:bookmarkStart w:id="48" w:name="appendix"/>
      <w:r>
        <w:t xml:space="preserve">Appendix</w:t>
      </w:r>
      <w:bookmarkEnd w:id="48"/>
    </w:p>
    <w:p>
      <w:pPr>
        <w:pStyle w:val="CaptionedFigure"/>
      </w:pPr>
      <w:r>
        <w:drawing>
          <wp:inline>
            <wp:extent cx="5943600" cy="2431472"/>
            <wp:effectExtent b="0" l="0" r="0" t="0"/>
            <wp:docPr descr="Figure 9: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49"/>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9: Effects of reducing sample size on CSCI scores.</w:t>
      </w:r>
    </w:p>
    <w:p>
      <w:pPr>
        <w:pStyle w:val="CaptionedFigure"/>
      </w:pPr>
      <w:r>
        <w:drawing>
          <wp:inline>
            <wp:extent cx="5943600" cy="2431472"/>
            <wp:effectExtent b="0" l="0" r="0" t="0"/>
            <wp:docPr descr="Figure 10: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50"/>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10: Effects of introducing ambiguous taxa on CSCI scores.</w:t>
      </w:r>
    </w:p>
    <w:p>
      <w:pPr>
        <w:pStyle w:val="Heading1"/>
      </w:pPr>
      <w:bookmarkStart w:id="51" w:name="references"/>
      <w:r>
        <w:t xml:space="preserve">References</w:t>
      </w:r>
      <w:bookmarkEnd w:id="51"/>
    </w:p>
    <w:bookmarkStart w:id="63" w:name="refs"/>
    <w:bookmarkStart w:id="52"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52"/>
    <w:bookmarkStart w:id="54"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53">
        <w:r>
          <w:rPr>
            <w:rStyle w:val="Hyperlink"/>
          </w:rPr>
          <w:t xml:space="preserve">https://pubs.usgs.gov/of/2007/1385/</w:t>
        </w:r>
      </w:hyperlink>
      <w:r>
        <w:t xml:space="preserve">.</w:t>
      </w:r>
    </w:p>
    <w:bookmarkEnd w:id="54"/>
    <w:bookmarkStart w:id="56"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5">
        <w:r>
          <w:rPr>
            <w:rStyle w:val="Hyperlink"/>
          </w:rPr>
          <w:t xml:space="preserve">https://doi.org/10.1111/1752-1688.12372</w:t>
        </w:r>
      </w:hyperlink>
      <w:r>
        <w:t xml:space="preserve">.</w:t>
      </w:r>
    </w:p>
    <w:bookmarkEnd w:id="56"/>
    <w:bookmarkStart w:id="58"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7">
        <w:r>
          <w:rPr>
            <w:rStyle w:val="Hyperlink"/>
          </w:rPr>
          <w:t xml:space="preserve">https://www.waterboards.ca.gov/water_issues/programs/swamp/bioassessment/docs/CSCI_Instructions_08_01_18.pdf</w:t>
        </w:r>
      </w:hyperlink>
      <w:r>
        <w:t xml:space="preserve">.</w:t>
      </w:r>
    </w:p>
    <w:bookmarkEnd w:id="58"/>
    <w:bookmarkStart w:id="59"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59"/>
    <w:bookmarkStart w:id="60" w:name="ref-McKay12"/>
    <w:p>
      <w:pPr>
        <w:pStyle w:val="Bibliography"/>
      </w:pPr>
      <w:r>
        <w:t xml:space="preserve">McKay, L., T. Bondelid, T. Dewald, J. Johnston, R. Moore, and A. Reah. 2012. “NHDPlus Version 2: User Guide.”</w:t>
      </w:r>
    </w:p>
    <w:bookmarkEnd w:id="60"/>
    <w:bookmarkStart w:id="62"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61">
        <w:r>
          <w:rPr>
            <w:rStyle w:val="Hyperlink"/>
          </w:rPr>
          <w:t xml:space="preserve">https://www.waterboards.ca.gov/water_issues/programs/swamp/bioassessment/docs/combined_sop_2016.pdf</w:t>
        </w:r>
      </w:hyperlink>
      <w:r>
        <w:t xml:space="preserve">.</w:t>
      </w:r>
    </w:p>
    <w:bookmarkEnd w:id="62"/>
    <w:bookmarkEnd w:id="63"/>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D890AD12"/>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90E2D772"/>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5FD4E696"/>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1C0662D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3802F16A"/>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551F21"/>
    <w:multiLevelType w:val="hybridMultilevel"/>
    <w:tmpl w:val="B8286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4D43CA7"/>
    <w:multiLevelType w:val="hybridMultilevel"/>
    <w:tmpl w:val="443E50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 w:numId="15">
    <w:abstractNumId w:val="14"/>
  </w: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5" Target="media/rId45.jpg" /><Relationship Type="http://schemas.openxmlformats.org/officeDocument/2006/relationships/image" Id="rId40" Target="media/rId40.png" /><Relationship Type="http://schemas.openxmlformats.org/officeDocument/2006/relationships/hyperlink" Id="rId55"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53"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39" Target="https://sccwrp.shinyapps.io/scape" TargetMode="External" /><Relationship Type="http://schemas.openxmlformats.org/officeDocument/2006/relationships/hyperlink" Id="rId34" Target="https://streamstats.usgs.gov/ss/" TargetMode="External" /><Relationship Type="http://schemas.openxmlformats.org/officeDocument/2006/relationships/hyperlink" Id="rId42" Target="https://www.google.com/earth/" TargetMode="External" /><Relationship Type="http://schemas.openxmlformats.org/officeDocument/2006/relationships/hyperlink" Id="rId57" Target="https://www.waterboards.ca.gov/water_issues/programs/swamp/bioassessment/docs/CSCI_Instructions_08_01_18.pdf" TargetMode="External" /><Relationship Type="http://schemas.openxmlformats.org/officeDocument/2006/relationships/hyperlink" Id="rId61"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53"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39" Target="https://sccwrp.shinyapps.io/scape" TargetMode="External" /><Relationship Type="http://schemas.openxmlformats.org/officeDocument/2006/relationships/hyperlink" Id="rId34" Target="https://streamstats.usgs.gov/ss/" TargetMode="External" /><Relationship Type="http://schemas.openxmlformats.org/officeDocument/2006/relationships/hyperlink" Id="rId42" Target="https://www.google.com/earth/" TargetMode="External" /><Relationship Type="http://schemas.openxmlformats.org/officeDocument/2006/relationships/hyperlink" Id="rId57" Target="https://www.waterboards.ca.gov/water_issues/programs/swamp/bioassessment/docs/CSCI_Instructions_08_01_18.pdf" TargetMode="External" /><Relationship Type="http://schemas.openxmlformats.org/officeDocument/2006/relationships/hyperlink" Id="rId61"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143</Words>
  <Characters>819</Characters>
  <Application>Microsoft Office Word</Application>
  <DocSecurity>0</DocSecurity>
  <Lines>6</Lines>
  <Paragraphs>1</Paragraphs>
  <ScaleCrop>false</ScaleCrop>
  <Company/>
  <LinksUpToDate>false</LinksUpToDate>
  <CharactersWithSpaces>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2019-08-27T00:03:19Z</dcterms:created>
  <dcterms:modified xsi:type="dcterms:W3CDTF">2019-08-27T00:03:19Z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26 August, 2019</vt:lpwstr>
  </property>
  <property fmtid="{D5CDD505-2E9C-101B-9397-08002B2CF9AE}" pid="4" name="output">
    <vt:lpwstr/>
  </property>
</Properties>
</file>